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6862" w:rsidRDefault="00616862" w:rsidP="00616862">
      <w:pPr>
        <w:pStyle w:val="CRCoverPage"/>
        <w:ind w:firstLineChars="100" w:firstLine="240"/>
        <w:outlineLvl w:val="0"/>
        <w:rPr>
          <w:rFonts w:cs="Arial"/>
          <w:b/>
          <w:sz w:val="24"/>
          <w:szCs w:val="24"/>
          <w:lang w:val="en-US"/>
        </w:rPr>
      </w:pPr>
      <w:bookmarkStart w:id="0" w:name="Title"/>
      <w:bookmarkStart w:id="1" w:name="DocumentFor"/>
      <w:bookmarkStart w:id="2" w:name="_Toc193024528"/>
      <w:bookmarkEnd w:id="0"/>
      <w:bookmarkEnd w:id="1"/>
    </w:p>
    <w:p w:rsidR="00317166" w:rsidRPr="00DD78B9" w:rsidRDefault="00317166" w:rsidP="00616862">
      <w:pPr>
        <w:pStyle w:val="CRCoverPage"/>
        <w:ind w:firstLineChars="100" w:firstLine="240"/>
        <w:outlineLvl w:val="0"/>
        <w:rPr>
          <w:rFonts w:cs="Arial"/>
          <w:b/>
          <w:sz w:val="24"/>
          <w:szCs w:val="24"/>
          <w:lang w:val="en-US"/>
        </w:rPr>
      </w:pPr>
      <w:r w:rsidRPr="00DD78B9">
        <w:rPr>
          <w:rFonts w:cs="Arial"/>
          <w:b/>
          <w:sz w:val="24"/>
          <w:szCs w:val="24"/>
          <w:lang w:val="en-US"/>
        </w:rPr>
        <w:t>3GPP TSG-RAN WG4 Meeting # 100-e</w:t>
      </w:r>
      <w:r w:rsidRPr="00DD78B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DD78B9">
        <w:rPr>
          <w:rFonts w:cs="Arial"/>
          <w:b/>
          <w:sz w:val="24"/>
          <w:szCs w:val="24"/>
          <w:lang w:val="en-US"/>
        </w:rPr>
        <w:t>R4-21</w:t>
      </w:r>
      <w:r w:rsidR="0064739C">
        <w:rPr>
          <w:rFonts w:cs="Arial"/>
          <w:b/>
          <w:sz w:val="24"/>
          <w:szCs w:val="24"/>
          <w:lang w:val="en-US"/>
        </w:rPr>
        <w:t>12603</w:t>
      </w:r>
      <w:bookmarkStart w:id="3" w:name="_GoBack"/>
      <w:bookmarkEnd w:id="3"/>
    </w:p>
    <w:p w:rsidR="00DB2AC9" w:rsidRPr="00992D9C" w:rsidRDefault="00317166" w:rsidP="00317166">
      <w:pPr>
        <w:pStyle w:val="CRCoverPage"/>
        <w:outlineLvl w:val="0"/>
        <w:rPr>
          <w:rFonts w:eastAsia="宋体"/>
          <w:b/>
          <w:i/>
          <w:sz w:val="24"/>
          <w:lang w:eastAsia="zh-CN"/>
        </w:rPr>
      </w:pPr>
      <w:r w:rsidRPr="00DD78B9">
        <w:rPr>
          <w:rFonts w:cs="Arial"/>
          <w:b/>
          <w:sz w:val="24"/>
          <w:szCs w:val="24"/>
          <w:lang w:val="en-US"/>
        </w:rPr>
        <w:t>Electronic Meeting, August 16-27, 202</w:t>
      </w:r>
      <w:r w:rsidR="00196B8C">
        <w:rPr>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5446E3">
        <w:rPr>
          <w:rFonts w:ascii="Arial" w:hAnsi="Arial" w:hint="eastAsia"/>
          <w:sz w:val="24"/>
          <w:lang w:val="en-US" w:eastAsia="zh-CN"/>
        </w:rPr>
        <w:t>Further</w:t>
      </w:r>
      <w:r w:rsidR="005446E3">
        <w:rPr>
          <w:rFonts w:ascii="Arial" w:hAnsi="Arial"/>
          <w:sz w:val="24"/>
          <w:lang w:val="en-US"/>
        </w:rPr>
        <w:t xml:space="preserve"> </w:t>
      </w:r>
      <w:r w:rsidR="005446E3">
        <w:rPr>
          <w:rFonts w:ascii="Arial" w:hAnsi="Arial" w:hint="eastAsia"/>
          <w:sz w:val="24"/>
          <w:lang w:val="en-US" w:eastAsia="zh-CN"/>
        </w:rPr>
        <w:t>discussion</w:t>
      </w:r>
      <w:r w:rsidR="005446E3">
        <w:rPr>
          <w:rFonts w:ascii="Arial" w:hAnsi="Arial"/>
          <w:sz w:val="24"/>
          <w:lang w:val="en-US"/>
        </w:rPr>
        <w:t xml:space="preserve"> </w:t>
      </w:r>
      <w:r w:rsidR="003F35A2" w:rsidRPr="003F35A2">
        <w:rPr>
          <w:rFonts w:ascii="Arial" w:hAnsi="Arial"/>
          <w:sz w:val="24"/>
          <w:lang w:val="en-US" w:eastAsia="zh-CN"/>
        </w:rPr>
        <w:t xml:space="preserve">on </w:t>
      </w:r>
      <w:r w:rsidR="005446E3">
        <w:rPr>
          <w:rFonts w:ascii="Arial" w:hAnsi="Arial"/>
          <w:sz w:val="24"/>
          <w:lang w:val="en-US" w:eastAsia="zh-CN"/>
        </w:rPr>
        <w:t>F</w:t>
      </w:r>
      <w:r w:rsidR="003F35A2" w:rsidRPr="003F35A2">
        <w:rPr>
          <w:rFonts w:ascii="Arial" w:hAnsi="Arial"/>
          <w:sz w:val="24"/>
          <w:lang w:val="en-US" w:eastAsia="zh-CN"/>
        </w:rPr>
        <w:t xml:space="preserve">DM </w:t>
      </w:r>
      <w:r w:rsidR="00763938">
        <w:rPr>
          <w:rFonts w:ascii="Arial" w:hAnsi="Arial"/>
          <w:sz w:val="24"/>
          <w:lang w:val="en-US" w:eastAsia="zh-CN"/>
        </w:rPr>
        <w:t>intra-band concurrent o</w:t>
      </w:r>
      <w:r w:rsidR="003F35A2" w:rsidRPr="003F35A2">
        <w:rPr>
          <w:rFonts w:ascii="Arial" w:hAnsi="Arial"/>
          <w:sz w:val="24"/>
          <w:lang w:val="en-US" w:eastAsia="zh-CN"/>
        </w:rPr>
        <w:t>peratio</w:t>
      </w:r>
      <w:r w:rsidR="00763938">
        <w:rPr>
          <w:rFonts w:ascii="Arial" w:hAnsi="Arial"/>
          <w:sz w:val="24"/>
          <w:lang w:val="en-US" w:eastAsia="zh-CN"/>
        </w:rPr>
        <w:t>n</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9175A">
        <w:rPr>
          <w:rFonts w:ascii="Arial" w:hAnsi="Arial"/>
          <w:sz w:val="24"/>
          <w:lang w:val="pt-BR"/>
        </w:rPr>
        <w:t>9.15.5.1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805BF5" w:rsidP="00DB2AC9">
      <w:pPr>
        <w:rPr>
          <w:lang w:val="en-US" w:eastAsia="zh-CN"/>
        </w:rPr>
      </w:pPr>
      <w:r>
        <w:rPr>
          <w:rFonts w:hint="eastAsia"/>
          <w:lang w:val="en-US" w:eastAsia="zh-CN"/>
        </w:rPr>
        <w:t>D</w:t>
      </w:r>
      <w:r>
        <w:rPr>
          <w:lang w:val="en-US" w:eastAsia="zh-CN"/>
        </w:rPr>
        <w:t>uring the RAN4#9</w:t>
      </w:r>
      <w:r w:rsidR="005446E3">
        <w:rPr>
          <w:lang w:val="en-US" w:eastAsia="zh-CN"/>
        </w:rPr>
        <w:t>9</w:t>
      </w:r>
      <w:r w:rsidR="00763938">
        <w:rPr>
          <w:lang w:val="en-US" w:eastAsia="zh-CN"/>
        </w:rPr>
        <w:t>-e</w:t>
      </w:r>
      <w:r w:rsidR="00B3173F">
        <w:rPr>
          <w:lang w:val="en-US" w:eastAsia="zh-CN"/>
        </w:rPr>
        <w:t xml:space="preserve"> meeting,</w:t>
      </w:r>
      <w:r w:rsidR="00763938">
        <w:rPr>
          <w:lang w:val="en-US" w:eastAsia="zh-CN"/>
        </w:rPr>
        <w:t xml:space="preserve"> a WF</w:t>
      </w:r>
      <w:r w:rsidR="005446E3">
        <w:rPr>
          <w:lang w:val="en-US" w:eastAsia="zh-CN"/>
        </w:rPr>
        <w:t xml:space="preserve"> </w:t>
      </w:r>
      <w:r w:rsidR="00763938">
        <w:rPr>
          <w:lang w:val="en-US" w:eastAsia="zh-CN"/>
        </w:rPr>
        <w:t xml:space="preserve">[1] on </w:t>
      </w:r>
      <w:r w:rsidR="005446E3">
        <w:rPr>
          <w:lang w:val="en-US" w:eastAsia="zh-CN"/>
        </w:rPr>
        <w:t xml:space="preserve">TDM </w:t>
      </w:r>
      <w:r w:rsidR="00763938">
        <w:rPr>
          <w:lang w:val="en-US" w:eastAsia="zh-CN"/>
        </w:rPr>
        <w:t xml:space="preserve">operating scenarios has been agreed. </w:t>
      </w:r>
      <w:r w:rsidR="005446E3">
        <w:rPr>
          <w:lang w:val="en-US" w:eastAsia="zh-CN"/>
        </w:rPr>
        <w:t>The Intra-band con-current V2X operation with adjacent carrier for TDD ban</w:t>
      </w:r>
      <w:r w:rsidR="004E65FF">
        <w:rPr>
          <w:lang w:val="en-US" w:eastAsia="zh-CN"/>
        </w:rPr>
        <w:t xml:space="preserve"> </w:t>
      </w:r>
      <w:r w:rsidR="005446E3">
        <w:rPr>
          <w:lang w:val="en-US" w:eastAsia="zh-CN"/>
        </w:rPr>
        <w:t>d has been fully discussed and with the agreement captured in the WF, we can further discuss the timing alignment issue as well as the switching period issue together.</w:t>
      </w:r>
    </w:p>
    <w:p w:rsidR="00DB2AC9" w:rsidRDefault="00DB2AC9" w:rsidP="00DB2AC9">
      <w:pPr>
        <w:pStyle w:val="1"/>
        <w:rPr>
          <w:lang w:eastAsia="zh-CN"/>
        </w:rPr>
      </w:pPr>
      <w:bookmarkStart w:id="4" w:name="OLE_LINK1"/>
      <w:bookmarkStart w:id="5" w:name="OLE_LINK2"/>
      <w:r w:rsidRPr="00492450">
        <w:rPr>
          <w:rFonts w:hint="eastAsia"/>
          <w:lang w:eastAsia="zh-CN"/>
        </w:rPr>
        <w:t>Discussion</w:t>
      </w:r>
    </w:p>
    <w:p w:rsidR="00EF5E8A" w:rsidRDefault="005446E3" w:rsidP="00B3579F">
      <w:pPr>
        <w:rPr>
          <w:lang w:val="en-US" w:eastAsia="zh-CN"/>
        </w:rPr>
      </w:pPr>
      <w:r>
        <w:rPr>
          <w:lang w:val="en-US" w:eastAsia="zh-CN"/>
        </w:rPr>
        <w:t>Within the WF [1], the agreement for issue 1-2-1 of intra-band concurrent V2X operation with adjacent carrier for TDD band is shown below:</w:t>
      </w:r>
    </w:p>
    <w:p w:rsidR="005446E3" w:rsidRDefault="005446E3" w:rsidP="005446E3">
      <w:pPr>
        <w:jc w:val="center"/>
        <w:rPr>
          <w:lang w:val="en-US" w:eastAsia="zh-CN"/>
        </w:rPr>
      </w:pPr>
      <w:r>
        <w:rPr>
          <w:noProof/>
          <w:lang w:val="en-US" w:eastAsia="zh-CN"/>
        </w:rPr>
        <w:drawing>
          <wp:inline distT="0" distB="0" distL="0" distR="0" wp14:anchorId="59AA8C69" wp14:editId="0BBE4601">
            <wp:extent cx="4329435" cy="1542415"/>
            <wp:effectExtent l="19050" t="19050" r="13970" b="196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39601" cy="1546037"/>
                    </a:xfrm>
                    <a:prstGeom prst="rect">
                      <a:avLst/>
                    </a:prstGeom>
                    <a:ln>
                      <a:solidFill>
                        <a:schemeClr val="accent1"/>
                      </a:solidFill>
                    </a:ln>
                  </pic:spPr>
                </pic:pic>
              </a:graphicData>
            </a:graphic>
          </wp:inline>
        </w:drawing>
      </w:r>
    </w:p>
    <w:p w:rsidR="005446E3" w:rsidRDefault="005446E3" w:rsidP="005446E3">
      <w:pPr>
        <w:rPr>
          <w:lang w:val="en-US" w:eastAsia="zh-CN"/>
        </w:rPr>
      </w:pPr>
      <w:r>
        <w:rPr>
          <w:rFonts w:hint="eastAsia"/>
          <w:lang w:val="en-US" w:eastAsia="zh-CN"/>
        </w:rPr>
        <w:t>I</w:t>
      </w:r>
      <w:r>
        <w:rPr>
          <w:lang w:val="en-US" w:eastAsia="zh-CN"/>
        </w:rPr>
        <w:t xml:space="preserve">n this case, the </w:t>
      </w:r>
      <w:r>
        <w:rPr>
          <w:rFonts w:hint="eastAsia"/>
          <w:lang w:val="en-US" w:eastAsia="zh-CN"/>
        </w:rPr>
        <w:t>Intra</w:t>
      </w:r>
      <w:r>
        <w:rPr>
          <w:lang w:val="en-US" w:eastAsia="zh-CN"/>
        </w:rPr>
        <w:t xml:space="preserve">-band con-current V2X operation with adjacent carrier for TDD band will not have simultaneous NR UL TX and NR SL RX. In other words, the only scenario will be simultaneous NR UL TX as well as NR SL TX. And in-device co-existence study is not needed as concluded. </w:t>
      </w:r>
    </w:p>
    <w:p w:rsidR="00EF7B26" w:rsidRDefault="00EF7B26" w:rsidP="00EF7B26">
      <w:pPr>
        <w:rPr>
          <w:lang w:val="en-US" w:eastAsia="zh-CN"/>
        </w:rPr>
      </w:pPr>
      <w:r>
        <w:rPr>
          <w:rFonts w:hint="eastAsia"/>
          <w:lang w:val="en-US" w:eastAsia="zh-CN"/>
        </w:rPr>
        <w:t>I</w:t>
      </w:r>
      <w:r>
        <w:rPr>
          <w:lang w:val="en-US" w:eastAsia="zh-CN"/>
        </w:rPr>
        <w:t>n our previous paper submitted in RAN4#99-e [2], the FDM intra-band con-current operation has been fully discussed as whether the simultaneous NR UL TX and NR SL RX can happen. The detail timing issue when considering the timing advance if SL is aligned with DL is shown below in figure 1. The last symbol of the SL transmission is set to be guard period in case for sidelink TX and RX transform.</w:t>
      </w:r>
      <w:r w:rsidR="003A4BE3">
        <w:rPr>
          <w:lang w:val="en-US" w:eastAsia="zh-CN"/>
        </w:rPr>
        <w:t xml:space="preserve"> For the sake of guard period design, it is used to protect the SL transmission from interruption when there is SL TX and RX switching.</w:t>
      </w:r>
    </w:p>
    <w:p w:rsidR="00EF7B26" w:rsidRDefault="00EF7B26" w:rsidP="00EF7B26">
      <w:pPr>
        <w:ind w:firstLine="420"/>
        <w:jc w:val="center"/>
        <w:rPr>
          <w:lang w:val="en-US" w:eastAsia="zh-CN"/>
        </w:rPr>
      </w:pPr>
      <w:r>
        <w:rPr>
          <w:noProof/>
          <w:lang w:val="en-US" w:eastAsia="zh-CN"/>
        </w:rPr>
        <w:drawing>
          <wp:inline distT="0" distB="0" distL="0" distR="0" wp14:anchorId="625128D9" wp14:editId="5E98F80E">
            <wp:extent cx="2946400" cy="1655595"/>
            <wp:effectExtent l="0" t="0" r="635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86250" cy="1677987"/>
                    </a:xfrm>
                    <a:prstGeom prst="rect">
                      <a:avLst/>
                    </a:prstGeom>
                  </pic:spPr>
                </pic:pic>
              </a:graphicData>
            </a:graphic>
          </wp:inline>
        </w:drawing>
      </w:r>
    </w:p>
    <w:p w:rsidR="00EF7B26" w:rsidRDefault="00EF7B26" w:rsidP="00EF7B26">
      <w:pPr>
        <w:ind w:firstLine="420"/>
        <w:jc w:val="center"/>
        <w:rPr>
          <w:lang w:val="en-US" w:eastAsia="zh-CN"/>
        </w:rPr>
      </w:pPr>
      <w:r>
        <w:rPr>
          <w:rFonts w:hint="eastAsia"/>
          <w:lang w:val="en-US" w:eastAsia="zh-CN"/>
        </w:rPr>
        <w:t>Figure</w:t>
      </w:r>
      <w:r>
        <w:rPr>
          <w:lang w:val="en-US" w:eastAsia="zh-CN"/>
        </w:rPr>
        <w:t xml:space="preserve"> 1 Timing issue for only simultaneous UL TX and SL TX</w:t>
      </w:r>
    </w:p>
    <w:p w:rsidR="00EF7B26" w:rsidRPr="003A4BE3" w:rsidRDefault="003A4BE3" w:rsidP="00EF7B26">
      <w:pPr>
        <w:rPr>
          <w:b/>
          <w:lang w:val="en-US" w:eastAsia="zh-CN"/>
        </w:rPr>
      </w:pPr>
      <w:r w:rsidRPr="003A4BE3">
        <w:rPr>
          <w:b/>
          <w:lang w:val="en-US" w:eastAsia="zh-CN"/>
        </w:rPr>
        <w:t>Observation 1: The guard period is designed for sidelink TX and RX switching.</w:t>
      </w:r>
    </w:p>
    <w:p w:rsidR="003A4BE3" w:rsidRDefault="003A4BE3" w:rsidP="00EF7B26">
      <w:pPr>
        <w:rPr>
          <w:lang w:val="en-US" w:eastAsia="zh-CN"/>
        </w:rPr>
      </w:pPr>
      <w:r>
        <w:rPr>
          <w:lang w:val="en-US" w:eastAsia="zh-CN"/>
        </w:rPr>
        <w:t>To this extend, it is needed to consider the time mask of sidelink for switching. The time mask requirement of NR V2X UE is captured in TS 38.101-1 as 10us for transient period. As currently the LS to RAN1 of SL TX timing alignment hasn’t get reply yet, we would like to discuss the guard period for two different cases.</w:t>
      </w:r>
    </w:p>
    <w:p w:rsidR="00EF7B26" w:rsidRDefault="00EF7B26" w:rsidP="00EF7B26">
      <w:pPr>
        <w:jc w:val="center"/>
      </w:pPr>
    </w:p>
    <w:p w:rsidR="003A4BE3" w:rsidRDefault="003A4BE3" w:rsidP="003A4BE3">
      <w:pPr>
        <w:ind w:firstLine="420"/>
        <w:rPr>
          <w:lang w:eastAsia="zh-CN"/>
        </w:rPr>
      </w:pPr>
      <w:r>
        <w:rPr>
          <w:lang w:eastAsia="zh-CN"/>
        </w:rPr>
        <w:t>-</w:t>
      </w:r>
      <w:r>
        <w:rPr>
          <w:rFonts w:hint="eastAsia"/>
          <w:lang w:eastAsia="zh-CN"/>
        </w:rPr>
        <w:t>C</w:t>
      </w:r>
      <w:r>
        <w:rPr>
          <w:lang w:eastAsia="zh-CN"/>
        </w:rPr>
        <w:t>ase 1: Keep current timing alignment as Sidelink aligned to DL time slot.</w:t>
      </w:r>
    </w:p>
    <w:p w:rsidR="003A4BE3" w:rsidRDefault="003A4BE3" w:rsidP="003A4BE3">
      <w:pPr>
        <w:ind w:firstLine="420"/>
        <w:rPr>
          <w:lang w:eastAsia="zh-CN"/>
        </w:rPr>
      </w:pPr>
      <w:r>
        <w:rPr>
          <w:lang w:eastAsia="zh-CN"/>
        </w:rPr>
        <w:t>-Case 2: Change the timing alignment to sidelink aligned to UL time slot.</w:t>
      </w:r>
    </w:p>
    <w:p w:rsidR="003A4BE3" w:rsidRDefault="003A4BE3" w:rsidP="00EF7B26">
      <w:pPr>
        <w:rPr>
          <w:lang w:eastAsia="zh-CN"/>
        </w:rPr>
      </w:pPr>
      <w:r w:rsidRPr="00D15D51">
        <w:rPr>
          <w:rFonts w:hint="eastAsia"/>
          <w:lang w:eastAsia="zh-CN"/>
        </w:rPr>
        <w:t>F</w:t>
      </w:r>
      <w:r w:rsidRPr="00D15D51">
        <w:rPr>
          <w:lang w:eastAsia="zh-CN"/>
        </w:rPr>
        <w:t xml:space="preserve">or case 1, </w:t>
      </w:r>
      <w:r>
        <w:rPr>
          <w:lang w:eastAsia="zh-CN"/>
        </w:rPr>
        <w:t>as shown in figure 1, because of the T</w:t>
      </w:r>
      <w:r w:rsidRPr="003A4BE3">
        <w:rPr>
          <w:vertAlign w:val="subscript"/>
          <w:lang w:eastAsia="zh-CN"/>
        </w:rPr>
        <w:t>TA</w:t>
      </w:r>
      <w:r>
        <w:rPr>
          <w:rFonts w:hint="eastAsia"/>
          <w:lang w:eastAsia="zh-CN"/>
        </w:rPr>
        <w:t>,</w:t>
      </w:r>
      <w:r>
        <w:rPr>
          <w:lang w:eastAsia="zh-CN"/>
        </w:rPr>
        <w:t xml:space="preserve"> the guard period should </w:t>
      </w:r>
      <w:r w:rsidR="00D15D51">
        <w:rPr>
          <w:lang w:eastAsia="zh-CN"/>
        </w:rPr>
        <w:t>consider both the timing advance as well as the transient period.</w:t>
      </w:r>
    </w:p>
    <w:p w:rsidR="00EF7B26" w:rsidRPr="00B31E05" w:rsidRDefault="00EF7B26" w:rsidP="00EF7B26">
      <w:pPr>
        <w:rPr>
          <w:b/>
        </w:rPr>
      </w:pPr>
      <w:r w:rsidRPr="00B31E05">
        <w:rPr>
          <w:b/>
        </w:rPr>
        <w:t xml:space="preserve">Observation </w:t>
      </w:r>
      <w:r w:rsidR="00D15D51">
        <w:rPr>
          <w:b/>
        </w:rPr>
        <w:t>2</w:t>
      </w:r>
      <w:r w:rsidRPr="00B31E05">
        <w:rPr>
          <w:b/>
        </w:rPr>
        <w:t>: The guard period should both cover the transient period and the T</w:t>
      </w:r>
      <w:r w:rsidRPr="00B31E05">
        <w:rPr>
          <w:b/>
          <w:vertAlign w:val="subscript"/>
        </w:rPr>
        <w:t>TA</w:t>
      </w:r>
      <w:r w:rsidRPr="00B31E05">
        <w:rPr>
          <w:b/>
        </w:rPr>
        <w:t>.</w:t>
      </w:r>
    </w:p>
    <w:p w:rsidR="00EF7B26" w:rsidRPr="00B31E05" w:rsidRDefault="00EF7B26" w:rsidP="00EF7B26">
      <w:pPr>
        <w:rPr>
          <w:lang w:eastAsia="zh-CN"/>
        </w:rPr>
      </w:pPr>
      <w:r>
        <w:rPr>
          <w:rFonts w:hint="eastAsia"/>
          <w:lang w:eastAsia="zh-CN"/>
        </w:rPr>
        <w:t>T</w:t>
      </w:r>
      <w:r>
        <w:rPr>
          <w:lang w:eastAsia="zh-CN"/>
        </w:rPr>
        <w:t xml:space="preserve">o cover the transient period and </w:t>
      </w:r>
      <w:r>
        <w:t>T</w:t>
      </w:r>
      <w:r w:rsidRPr="00332DB0">
        <w:rPr>
          <w:vertAlign w:val="subscript"/>
        </w:rPr>
        <w:t>TA</w:t>
      </w:r>
      <w:r>
        <w:t xml:space="preserve">, the guard period should be at least </w:t>
      </w:r>
      <w:r w:rsidR="00D15D51">
        <w:t>1</w:t>
      </w:r>
      <w:r>
        <w:t>0us + T</w:t>
      </w:r>
      <w:r w:rsidRPr="00332DB0">
        <w:rPr>
          <w:vertAlign w:val="subscript"/>
        </w:rPr>
        <w:t>TA</w:t>
      </w:r>
      <w:r>
        <w:t>. For T</w:t>
      </w:r>
      <w:r w:rsidRPr="00332DB0">
        <w:rPr>
          <w:vertAlign w:val="subscript"/>
        </w:rPr>
        <w:t>TA</w:t>
      </w:r>
      <w:r>
        <w:t xml:space="preserve"> estimation, the inter-BS distance is 500m as captured in the simulation assumption in TR 38.886. Further consider the N</w:t>
      </w:r>
      <w:r w:rsidRPr="00B31E05">
        <w:rPr>
          <w:vertAlign w:val="subscript"/>
        </w:rPr>
        <w:t>TA_offset</w:t>
      </w:r>
      <w:r>
        <w:t>, it is assumed about 21us for T</w:t>
      </w:r>
      <w:r w:rsidRPr="00332DB0">
        <w:rPr>
          <w:vertAlign w:val="subscript"/>
        </w:rPr>
        <w:t>TA</w:t>
      </w:r>
      <w:r>
        <w:t xml:space="preserve">. So the guard period should cover at least </w:t>
      </w:r>
      <w:r w:rsidR="00D15D51">
        <w:t>3</w:t>
      </w:r>
      <w:r>
        <w:t>1us to ensure the transient period as well as T</w:t>
      </w:r>
      <w:r w:rsidRPr="00332DB0">
        <w:rPr>
          <w:vertAlign w:val="subscript"/>
        </w:rPr>
        <w:t>TA</w:t>
      </w:r>
      <w:r>
        <w:t xml:space="preserve"> to be located inside.</w:t>
      </w:r>
    </w:p>
    <w:p w:rsidR="00EF7B26" w:rsidRDefault="00EF7B26" w:rsidP="00EF7B26">
      <w:r>
        <w:t>The guard period is set to 1 symbol length hence for different SCS, the symbol length as the guard period will be different. The symbol duration is calculated and captured as below table 1:</w:t>
      </w:r>
    </w:p>
    <w:p w:rsidR="00EF7B26" w:rsidRDefault="00EF7B26" w:rsidP="00EF7B26">
      <w:pPr>
        <w:jc w:val="center"/>
      </w:pPr>
      <w:r>
        <w:t>Table 1: Symbol length for different SCS</w:t>
      </w:r>
    </w:p>
    <w:tbl>
      <w:tblPr>
        <w:tblStyle w:val="ab"/>
        <w:tblW w:w="0" w:type="auto"/>
        <w:jc w:val="center"/>
        <w:tblLook w:val="04A0" w:firstRow="1" w:lastRow="0" w:firstColumn="1" w:lastColumn="0" w:noHBand="0" w:noVBand="1"/>
      </w:tblPr>
      <w:tblGrid>
        <w:gridCol w:w="3485"/>
        <w:gridCol w:w="3486"/>
        <w:gridCol w:w="3486"/>
      </w:tblGrid>
      <w:tr w:rsidR="00EF7B26" w:rsidTr="00802FE5">
        <w:trPr>
          <w:jc w:val="center"/>
        </w:trPr>
        <w:tc>
          <w:tcPr>
            <w:tcW w:w="3485" w:type="dxa"/>
          </w:tcPr>
          <w:p w:rsidR="00EF7B26" w:rsidRDefault="00EF7B26" w:rsidP="00802FE5">
            <w:pPr>
              <w:jc w:val="center"/>
              <w:rPr>
                <w:lang w:val="en-US" w:eastAsia="zh-CN"/>
              </w:rPr>
            </w:pPr>
            <w:r>
              <w:rPr>
                <w:rFonts w:hint="eastAsia"/>
                <w:lang w:val="en-US" w:eastAsia="zh-CN"/>
              </w:rPr>
              <w:t>S</w:t>
            </w:r>
            <w:r>
              <w:rPr>
                <w:lang w:val="en-US" w:eastAsia="zh-CN"/>
              </w:rPr>
              <w:t>CS (kHz)</w:t>
            </w:r>
          </w:p>
        </w:tc>
        <w:tc>
          <w:tcPr>
            <w:tcW w:w="3486" w:type="dxa"/>
          </w:tcPr>
          <w:p w:rsidR="00EF7B26" w:rsidRDefault="00EF7B26" w:rsidP="00802FE5">
            <w:pPr>
              <w:jc w:val="center"/>
              <w:rPr>
                <w:lang w:val="en-US" w:eastAsia="zh-CN"/>
              </w:rPr>
            </w:pPr>
            <w:r>
              <w:rPr>
                <w:rFonts w:hint="eastAsia"/>
                <w:lang w:val="en-US" w:eastAsia="zh-CN"/>
              </w:rPr>
              <w:t>S</w:t>
            </w:r>
            <w:r>
              <w:rPr>
                <w:lang w:val="en-US" w:eastAsia="zh-CN"/>
              </w:rPr>
              <w:t>ymbol Duration (us)</w:t>
            </w:r>
          </w:p>
        </w:tc>
        <w:tc>
          <w:tcPr>
            <w:tcW w:w="3486" w:type="dxa"/>
          </w:tcPr>
          <w:p w:rsidR="00EF7B26" w:rsidRDefault="00EF7B26" w:rsidP="00802FE5">
            <w:pPr>
              <w:jc w:val="center"/>
              <w:rPr>
                <w:lang w:val="en-US" w:eastAsia="zh-CN"/>
              </w:rPr>
            </w:pPr>
            <w:r>
              <w:rPr>
                <w:lang w:val="en-US" w:eastAsia="zh-CN"/>
              </w:rPr>
              <w:t>Symbols needed for guard period</w:t>
            </w:r>
          </w:p>
        </w:tc>
      </w:tr>
      <w:tr w:rsidR="00EF7B26" w:rsidTr="00802FE5">
        <w:trPr>
          <w:jc w:val="center"/>
        </w:trPr>
        <w:tc>
          <w:tcPr>
            <w:tcW w:w="3485" w:type="dxa"/>
          </w:tcPr>
          <w:p w:rsidR="00EF7B26" w:rsidRDefault="00EF7B26" w:rsidP="00802FE5">
            <w:pPr>
              <w:jc w:val="center"/>
              <w:rPr>
                <w:lang w:val="en-US" w:eastAsia="zh-CN"/>
              </w:rPr>
            </w:pPr>
            <w:r>
              <w:rPr>
                <w:lang w:val="en-US" w:eastAsia="zh-CN"/>
              </w:rPr>
              <w:t>15</w:t>
            </w:r>
          </w:p>
        </w:tc>
        <w:tc>
          <w:tcPr>
            <w:tcW w:w="3486" w:type="dxa"/>
          </w:tcPr>
          <w:p w:rsidR="00EF7B26" w:rsidRDefault="00EF7B26" w:rsidP="00802FE5">
            <w:pPr>
              <w:jc w:val="center"/>
              <w:rPr>
                <w:lang w:val="en-US" w:eastAsia="zh-CN"/>
              </w:rPr>
            </w:pPr>
            <w:r>
              <w:rPr>
                <w:rFonts w:hint="eastAsia"/>
                <w:lang w:val="en-US" w:eastAsia="zh-CN"/>
              </w:rPr>
              <w:t>7</w:t>
            </w:r>
            <w:r>
              <w:rPr>
                <w:lang w:val="en-US" w:eastAsia="zh-CN"/>
              </w:rPr>
              <w:t>1.4</w:t>
            </w:r>
          </w:p>
        </w:tc>
        <w:tc>
          <w:tcPr>
            <w:tcW w:w="3486" w:type="dxa"/>
          </w:tcPr>
          <w:p w:rsidR="00EF7B26" w:rsidRDefault="00EF7B26" w:rsidP="00802FE5">
            <w:pPr>
              <w:jc w:val="center"/>
              <w:rPr>
                <w:lang w:val="en-US" w:eastAsia="zh-CN"/>
              </w:rPr>
            </w:pPr>
            <w:r>
              <w:rPr>
                <w:rFonts w:hint="eastAsia"/>
                <w:lang w:val="en-US" w:eastAsia="zh-CN"/>
              </w:rPr>
              <w:t>1</w:t>
            </w:r>
          </w:p>
        </w:tc>
      </w:tr>
      <w:tr w:rsidR="00EF7B26" w:rsidTr="00802FE5">
        <w:trPr>
          <w:jc w:val="center"/>
        </w:trPr>
        <w:tc>
          <w:tcPr>
            <w:tcW w:w="3485" w:type="dxa"/>
          </w:tcPr>
          <w:p w:rsidR="00EF7B26" w:rsidRDefault="00EF7B26" w:rsidP="00802FE5">
            <w:pPr>
              <w:jc w:val="center"/>
              <w:rPr>
                <w:lang w:val="en-US" w:eastAsia="zh-CN"/>
              </w:rPr>
            </w:pPr>
            <w:r>
              <w:rPr>
                <w:rFonts w:hint="eastAsia"/>
                <w:lang w:val="en-US" w:eastAsia="zh-CN"/>
              </w:rPr>
              <w:t>3</w:t>
            </w:r>
            <w:r>
              <w:rPr>
                <w:lang w:val="en-US" w:eastAsia="zh-CN"/>
              </w:rPr>
              <w:t>0</w:t>
            </w:r>
          </w:p>
        </w:tc>
        <w:tc>
          <w:tcPr>
            <w:tcW w:w="3486" w:type="dxa"/>
          </w:tcPr>
          <w:p w:rsidR="00EF7B26" w:rsidRDefault="00EF7B26" w:rsidP="00802FE5">
            <w:pPr>
              <w:jc w:val="center"/>
              <w:rPr>
                <w:lang w:val="en-US" w:eastAsia="zh-CN"/>
              </w:rPr>
            </w:pPr>
            <w:r>
              <w:rPr>
                <w:rFonts w:hint="eastAsia"/>
                <w:lang w:val="en-US" w:eastAsia="zh-CN"/>
              </w:rPr>
              <w:t>3</w:t>
            </w:r>
            <w:r>
              <w:rPr>
                <w:lang w:val="en-US" w:eastAsia="zh-CN"/>
              </w:rPr>
              <w:t>5.7</w:t>
            </w:r>
          </w:p>
        </w:tc>
        <w:tc>
          <w:tcPr>
            <w:tcW w:w="3486" w:type="dxa"/>
          </w:tcPr>
          <w:p w:rsidR="00EF7B26" w:rsidRDefault="00D15D51" w:rsidP="00802FE5">
            <w:pPr>
              <w:jc w:val="center"/>
              <w:rPr>
                <w:lang w:val="en-US" w:eastAsia="zh-CN"/>
              </w:rPr>
            </w:pPr>
            <w:r>
              <w:rPr>
                <w:lang w:val="en-US" w:eastAsia="zh-CN"/>
              </w:rPr>
              <w:t>1</w:t>
            </w:r>
          </w:p>
        </w:tc>
      </w:tr>
      <w:tr w:rsidR="00EF7B26" w:rsidTr="00802FE5">
        <w:trPr>
          <w:jc w:val="center"/>
        </w:trPr>
        <w:tc>
          <w:tcPr>
            <w:tcW w:w="3485" w:type="dxa"/>
          </w:tcPr>
          <w:p w:rsidR="00EF7B26" w:rsidRDefault="00EF7B26" w:rsidP="00802FE5">
            <w:pPr>
              <w:jc w:val="center"/>
              <w:rPr>
                <w:lang w:val="en-US" w:eastAsia="zh-CN"/>
              </w:rPr>
            </w:pPr>
            <w:r>
              <w:rPr>
                <w:rFonts w:hint="eastAsia"/>
                <w:lang w:val="en-US" w:eastAsia="zh-CN"/>
              </w:rPr>
              <w:t>6</w:t>
            </w:r>
            <w:r>
              <w:rPr>
                <w:lang w:val="en-US" w:eastAsia="zh-CN"/>
              </w:rPr>
              <w:t>0</w:t>
            </w:r>
          </w:p>
        </w:tc>
        <w:tc>
          <w:tcPr>
            <w:tcW w:w="3486" w:type="dxa"/>
          </w:tcPr>
          <w:p w:rsidR="00EF7B26" w:rsidRDefault="00EF7B26" w:rsidP="00802FE5">
            <w:pPr>
              <w:jc w:val="center"/>
              <w:rPr>
                <w:lang w:val="en-US" w:eastAsia="zh-CN"/>
              </w:rPr>
            </w:pPr>
            <w:r>
              <w:rPr>
                <w:rFonts w:hint="eastAsia"/>
                <w:lang w:val="en-US" w:eastAsia="zh-CN"/>
              </w:rPr>
              <w:t>1</w:t>
            </w:r>
            <w:r>
              <w:rPr>
                <w:lang w:val="en-US" w:eastAsia="zh-CN"/>
              </w:rPr>
              <w:t>7.8</w:t>
            </w:r>
          </w:p>
        </w:tc>
        <w:tc>
          <w:tcPr>
            <w:tcW w:w="3486" w:type="dxa"/>
          </w:tcPr>
          <w:p w:rsidR="00EF7B26" w:rsidRDefault="00D15D51" w:rsidP="00802FE5">
            <w:pPr>
              <w:jc w:val="center"/>
              <w:rPr>
                <w:lang w:val="en-US" w:eastAsia="zh-CN"/>
              </w:rPr>
            </w:pPr>
            <w:r>
              <w:rPr>
                <w:lang w:val="en-US" w:eastAsia="zh-CN"/>
              </w:rPr>
              <w:t>2</w:t>
            </w:r>
          </w:p>
        </w:tc>
      </w:tr>
    </w:tbl>
    <w:p w:rsidR="00EF7B26" w:rsidRDefault="00EF7B26" w:rsidP="00EF7B26">
      <w:pPr>
        <w:rPr>
          <w:lang w:eastAsia="zh-CN"/>
        </w:rPr>
      </w:pPr>
      <w:r>
        <w:rPr>
          <w:lang w:eastAsia="zh-CN"/>
        </w:rPr>
        <w:t>As calculated in the 3</w:t>
      </w:r>
      <w:r w:rsidRPr="00B31E05">
        <w:rPr>
          <w:vertAlign w:val="superscript"/>
          <w:lang w:eastAsia="zh-CN"/>
        </w:rPr>
        <w:t>rd</w:t>
      </w:r>
      <w:r>
        <w:rPr>
          <w:lang w:eastAsia="zh-CN"/>
        </w:rPr>
        <w:t xml:space="preserve"> column, the symbols needed for guard period is 1/</w:t>
      </w:r>
      <w:r w:rsidR="00D15D51">
        <w:rPr>
          <w:lang w:eastAsia="zh-CN"/>
        </w:rPr>
        <w:t>1</w:t>
      </w:r>
      <w:r>
        <w:rPr>
          <w:lang w:eastAsia="zh-CN"/>
        </w:rPr>
        <w:t>/</w:t>
      </w:r>
      <w:r w:rsidR="00D15D51">
        <w:rPr>
          <w:lang w:eastAsia="zh-CN"/>
        </w:rPr>
        <w:t>2</w:t>
      </w:r>
      <w:r>
        <w:rPr>
          <w:lang w:eastAsia="zh-CN"/>
        </w:rPr>
        <w:t xml:space="preserve"> for SCS 15/30/60kHz respectively.</w:t>
      </w:r>
    </w:p>
    <w:p w:rsidR="00D15D51" w:rsidRPr="00D15D51" w:rsidRDefault="00D15D51" w:rsidP="00EF7B26">
      <w:pPr>
        <w:rPr>
          <w:b/>
          <w:lang w:eastAsia="zh-CN"/>
        </w:rPr>
      </w:pPr>
      <w:r w:rsidRPr="00D15D51">
        <w:rPr>
          <w:rFonts w:hint="eastAsia"/>
          <w:b/>
          <w:lang w:eastAsia="zh-CN"/>
        </w:rPr>
        <w:t>O</w:t>
      </w:r>
      <w:r w:rsidRPr="00D15D51">
        <w:rPr>
          <w:b/>
          <w:lang w:eastAsia="zh-CN"/>
        </w:rPr>
        <w:t>bservation 3: For SCS as 15kHz and 30kHz the guard period is long enough, however, for SCS as 60kHz, 2 symbols might be needed .</w:t>
      </w:r>
    </w:p>
    <w:p w:rsidR="00D15D51" w:rsidRDefault="00D15D51" w:rsidP="00EF7B26">
      <w:r>
        <w:rPr>
          <w:lang w:eastAsia="zh-CN"/>
        </w:rPr>
        <w:t xml:space="preserve">However, the above is considering the </w:t>
      </w:r>
      <w:r>
        <w:t>N</w:t>
      </w:r>
      <w:r w:rsidRPr="00B31E05">
        <w:rPr>
          <w:vertAlign w:val="subscript"/>
        </w:rPr>
        <w:t>TA_offset</w:t>
      </w:r>
      <w:r w:rsidR="0004682F">
        <w:rPr>
          <w:vertAlign w:val="subscript"/>
        </w:rPr>
        <w:t xml:space="preserve"> </w:t>
      </w:r>
      <w:r w:rsidR="0004682F">
        <w:t>= 0</w:t>
      </w:r>
      <w:r>
        <w:t xml:space="preserve"> as captured in current TS 38.133. But we notice that there is currently parallel discussion in RRM session as considering </w:t>
      </w:r>
      <w:r w:rsidR="0004682F">
        <w:t>non-zero</w:t>
      </w:r>
      <w:r>
        <w:t xml:space="preserve"> N</w:t>
      </w:r>
      <w:r w:rsidRPr="00B31E05">
        <w:rPr>
          <w:vertAlign w:val="subscript"/>
        </w:rPr>
        <w:t>TA_offset</w:t>
      </w:r>
      <w:r>
        <w:rPr>
          <w:b/>
          <w:vertAlign w:val="subscript"/>
        </w:rPr>
        <w:t xml:space="preserve"> </w:t>
      </w:r>
      <w:r w:rsidR="00691CC7" w:rsidRPr="00691CC7">
        <w:t>(</w:t>
      </w:r>
      <w:r w:rsidR="00691CC7">
        <w:t>Refer to the WF[3]</w:t>
      </w:r>
      <w:r w:rsidR="00691CC7" w:rsidRPr="00691CC7">
        <w:t>)</w:t>
      </w:r>
      <w:r w:rsidRPr="00D15D51">
        <w:t xml:space="preserve">so that </w:t>
      </w:r>
      <w:r>
        <w:t>one symbol is enough to cover the transien</w:t>
      </w:r>
      <w:r w:rsidR="00691CC7">
        <w:t>t period and the timing advance.</w:t>
      </w:r>
    </w:p>
    <w:p w:rsidR="00D15D51" w:rsidRDefault="00D15D51" w:rsidP="00EF7B26">
      <w:pPr>
        <w:rPr>
          <w:b/>
        </w:rPr>
      </w:pPr>
      <w:r w:rsidRPr="00D15D51">
        <w:rPr>
          <w:b/>
        </w:rPr>
        <w:t xml:space="preserve">Observation </w:t>
      </w:r>
      <w:r>
        <w:rPr>
          <w:b/>
        </w:rPr>
        <w:t>4</w:t>
      </w:r>
      <w:r w:rsidRPr="00D15D51">
        <w:rPr>
          <w:b/>
        </w:rPr>
        <w:t>:</w:t>
      </w:r>
      <w:r>
        <w:rPr>
          <w:b/>
        </w:rPr>
        <w:t xml:space="preserve"> Currently RRM session is considering </w:t>
      </w:r>
      <w:r w:rsidR="0004682F">
        <w:rPr>
          <w:b/>
        </w:rPr>
        <w:t>non-zero</w:t>
      </w:r>
      <w:r>
        <w:rPr>
          <w:b/>
        </w:rPr>
        <w:t xml:space="preserve"> </w:t>
      </w:r>
      <w:r w:rsidRPr="00D15D51">
        <w:rPr>
          <w:b/>
        </w:rPr>
        <w:t>N</w:t>
      </w:r>
      <w:r w:rsidRPr="00D15D51">
        <w:rPr>
          <w:b/>
          <w:vertAlign w:val="subscript"/>
        </w:rPr>
        <w:t>TA_offset</w:t>
      </w:r>
      <w:r>
        <w:rPr>
          <w:b/>
          <w:vertAlign w:val="subscript"/>
        </w:rPr>
        <w:t xml:space="preserve"> </w:t>
      </w:r>
      <w:r>
        <w:rPr>
          <w:b/>
        </w:rPr>
        <w:t>to keep the guard period unchanged as one symbol.</w:t>
      </w:r>
    </w:p>
    <w:p w:rsidR="00D15D51" w:rsidRDefault="00D15D51" w:rsidP="00EF7B26">
      <w:pPr>
        <w:rPr>
          <w:lang w:eastAsia="zh-CN"/>
        </w:rPr>
      </w:pPr>
      <w:r w:rsidRPr="00D15D51">
        <w:rPr>
          <w:rFonts w:hint="eastAsia"/>
          <w:lang w:eastAsia="zh-CN"/>
        </w:rPr>
        <w:t>F</w:t>
      </w:r>
      <w:r w:rsidRPr="00D15D51">
        <w:rPr>
          <w:lang w:eastAsia="zh-CN"/>
        </w:rPr>
        <w:t xml:space="preserve">or case 2, </w:t>
      </w:r>
      <w:r>
        <w:rPr>
          <w:lang w:eastAsia="zh-CN"/>
        </w:rPr>
        <w:t>situation is clearer that no timing advance needs to be considered. In this case only 10us transient period needs to be covered by one symbol and it can be seen that this is fulfilled even for 60kHz SCS with 17.8us symbol duration.</w:t>
      </w:r>
    </w:p>
    <w:p w:rsidR="00D15D51" w:rsidRPr="00D15D51" w:rsidRDefault="00D15D51" w:rsidP="00EF7B26">
      <w:pPr>
        <w:rPr>
          <w:b/>
          <w:lang w:eastAsia="zh-CN"/>
        </w:rPr>
      </w:pPr>
      <w:r w:rsidRPr="00D15D51">
        <w:rPr>
          <w:b/>
          <w:lang w:eastAsia="zh-CN"/>
        </w:rPr>
        <w:t>Observation 5: For case 2 as sidelink aligned to UL, the guard period is long enough to cover the transient period.</w:t>
      </w:r>
    </w:p>
    <w:p w:rsidR="00D15D51" w:rsidRPr="00D15D51" w:rsidRDefault="00D15D51" w:rsidP="00EF7B26">
      <w:pPr>
        <w:rPr>
          <w:lang w:eastAsia="zh-CN"/>
        </w:rPr>
      </w:pPr>
      <w:r>
        <w:t>With the above consideration, we suggest to wait for the RRM session discussion as well as the RAN1 reply LS to finalize the guard period discussion.</w:t>
      </w:r>
    </w:p>
    <w:p w:rsidR="00D15D51" w:rsidRPr="00D15D51" w:rsidRDefault="00D15D51" w:rsidP="00EF7B26">
      <w:pPr>
        <w:rPr>
          <w:b/>
          <w:lang w:eastAsia="zh-CN"/>
        </w:rPr>
      </w:pPr>
      <w:r w:rsidRPr="00D15D51">
        <w:rPr>
          <w:rFonts w:hint="eastAsia"/>
          <w:b/>
          <w:lang w:eastAsia="zh-CN"/>
        </w:rPr>
        <w:t>P</w:t>
      </w:r>
      <w:r w:rsidRPr="00D15D51">
        <w:rPr>
          <w:b/>
          <w:lang w:eastAsia="zh-CN"/>
        </w:rPr>
        <w:t xml:space="preserve">roposal 1: </w:t>
      </w:r>
      <w:r w:rsidRPr="00D15D51">
        <w:rPr>
          <w:b/>
        </w:rPr>
        <w:t>Wait for the RRM session discussion as well as the RAN1 reply LS to finalize the guard period discussion.</w:t>
      </w:r>
    </w:p>
    <w:bookmarkEnd w:id="4"/>
    <w:bookmarkEnd w:id="5"/>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lang w:val="en-US" w:eastAsia="zh-CN"/>
        </w:rPr>
      </w:pPr>
      <w:r>
        <w:rPr>
          <w:rFonts w:hint="eastAsia"/>
          <w:lang w:val="en-US" w:eastAsia="zh-CN"/>
        </w:rPr>
        <w:t xml:space="preserve">In this contribution, </w:t>
      </w:r>
      <w:r>
        <w:rPr>
          <w:lang w:val="en-US" w:eastAsia="zh-CN"/>
        </w:rPr>
        <w:t xml:space="preserve">we give </w:t>
      </w:r>
      <w:r w:rsidR="00BF5743">
        <w:rPr>
          <w:lang w:val="en-US" w:eastAsia="zh-CN"/>
        </w:rPr>
        <w:t xml:space="preserve">further </w:t>
      </w:r>
      <w:r>
        <w:rPr>
          <w:lang w:val="en-US" w:eastAsia="zh-CN"/>
        </w:rPr>
        <w:t xml:space="preserve">discussion on </w:t>
      </w:r>
      <w:r w:rsidR="00323263">
        <w:rPr>
          <w:lang w:val="en-US" w:eastAsia="zh-CN"/>
        </w:rPr>
        <w:t xml:space="preserve">remaining issue on </w:t>
      </w:r>
      <w:r w:rsidR="002C2022">
        <w:rPr>
          <w:lang w:val="en-US" w:eastAsia="zh-CN"/>
        </w:rPr>
        <w:t xml:space="preserve">UE </w:t>
      </w:r>
      <w:r w:rsidR="00BF5743">
        <w:rPr>
          <w:lang w:val="en-US" w:eastAsia="zh-CN"/>
        </w:rPr>
        <w:t>FDM intra-band concurrent operation</w:t>
      </w:r>
      <w:r w:rsidR="00323263">
        <w:rPr>
          <w:lang w:val="en-US" w:eastAsia="zh-CN"/>
        </w:rPr>
        <w:t xml:space="preserve"> and the observations are shown as below</w:t>
      </w:r>
      <w:r w:rsidR="00323263">
        <w:rPr>
          <w:rFonts w:hint="eastAsia"/>
          <w:lang w:val="en-US" w:eastAsia="zh-CN"/>
        </w:rPr>
        <w:t>：</w:t>
      </w:r>
    </w:p>
    <w:p w:rsidR="00D15D51" w:rsidRPr="003A4BE3" w:rsidRDefault="00D15D51" w:rsidP="00D15D51">
      <w:pPr>
        <w:rPr>
          <w:b/>
          <w:lang w:val="en-US" w:eastAsia="zh-CN"/>
        </w:rPr>
      </w:pPr>
      <w:r w:rsidRPr="003A4BE3">
        <w:rPr>
          <w:b/>
          <w:lang w:val="en-US" w:eastAsia="zh-CN"/>
        </w:rPr>
        <w:t>Observation 1: The guard period is designed for sidelink TX and RX switching.</w:t>
      </w:r>
    </w:p>
    <w:p w:rsidR="00D15D51" w:rsidRPr="00B31E05" w:rsidRDefault="00D15D51" w:rsidP="00D15D51">
      <w:pPr>
        <w:rPr>
          <w:b/>
        </w:rPr>
      </w:pPr>
      <w:r w:rsidRPr="00B31E05">
        <w:rPr>
          <w:b/>
        </w:rPr>
        <w:t xml:space="preserve">Observation </w:t>
      </w:r>
      <w:r>
        <w:rPr>
          <w:b/>
        </w:rPr>
        <w:t>2</w:t>
      </w:r>
      <w:r w:rsidRPr="00B31E05">
        <w:rPr>
          <w:b/>
        </w:rPr>
        <w:t>: The guard period should both cover the transient period and the T</w:t>
      </w:r>
      <w:r w:rsidRPr="00B31E05">
        <w:rPr>
          <w:b/>
          <w:vertAlign w:val="subscript"/>
        </w:rPr>
        <w:t>TA</w:t>
      </w:r>
      <w:r w:rsidRPr="00B31E05">
        <w:rPr>
          <w:b/>
        </w:rPr>
        <w:t>.</w:t>
      </w:r>
    </w:p>
    <w:p w:rsidR="00D15D51" w:rsidRPr="00D15D51" w:rsidRDefault="00D15D51" w:rsidP="00D15D51">
      <w:pPr>
        <w:rPr>
          <w:b/>
          <w:lang w:eastAsia="zh-CN"/>
        </w:rPr>
      </w:pPr>
      <w:r w:rsidRPr="00D15D51">
        <w:rPr>
          <w:rFonts w:hint="eastAsia"/>
          <w:b/>
          <w:lang w:eastAsia="zh-CN"/>
        </w:rPr>
        <w:t>O</w:t>
      </w:r>
      <w:r w:rsidRPr="00D15D51">
        <w:rPr>
          <w:b/>
          <w:lang w:eastAsia="zh-CN"/>
        </w:rPr>
        <w:t>bservation 3: For SCS as 15kHz and 30kHz the guard period is long enough, however, for SCS as 60kHz, 2 symbols might be needed .</w:t>
      </w:r>
    </w:p>
    <w:p w:rsidR="00D15D51" w:rsidRDefault="00D15D51" w:rsidP="00D15D51">
      <w:pPr>
        <w:rPr>
          <w:b/>
        </w:rPr>
      </w:pPr>
      <w:r w:rsidRPr="00D15D51">
        <w:rPr>
          <w:b/>
        </w:rPr>
        <w:t xml:space="preserve">Observation </w:t>
      </w:r>
      <w:r>
        <w:rPr>
          <w:b/>
        </w:rPr>
        <w:t>4</w:t>
      </w:r>
      <w:r w:rsidRPr="00D15D51">
        <w:rPr>
          <w:b/>
        </w:rPr>
        <w:t>:</w:t>
      </w:r>
      <w:r>
        <w:rPr>
          <w:b/>
        </w:rPr>
        <w:t xml:space="preserve"> Currently RRM session is considering decreasing the </w:t>
      </w:r>
      <w:r w:rsidRPr="00D15D51">
        <w:rPr>
          <w:b/>
        </w:rPr>
        <w:t>N</w:t>
      </w:r>
      <w:r w:rsidRPr="00D15D51">
        <w:rPr>
          <w:b/>
          <w:vertAlign w:val="subscript"/>
        </w:rPr>
        <w:t>TA_offset</w:t>
      </w:r>
      <w:r>
        <w:rPr>
          <w:b/>
          <w:vertAlign w:val="subscript"/>
        </w:rPr>
        <w:t xml:space="preserve"> </w:t>
      </w:r>
      <w:r>
        <w:rPr>
          <w:b/>
        </w:rPr>
        <w:t>to keep the guard period unchanged as one symbol.</w:t>
      </w:r>
    </w:p>
    <w:p w:rsidR="00D15D51" w:rsidRPr="00D15D51" w:rsidRDefault="00D15D51" w:rsidP="00D15D51">
      <w:pPr>
        <w:rPr>
          <w:b/>
          <w:lang w:eastAsia="zh-CN"/>
        </w:rPr>
      </w:pPr>
      <w:r w:rsidRPr="00D15D51">
        <w:rPr>
          <w:b/>
          <w:lang w:eastAsia="zh-CN"/>
        </w:rPr>
        <w:t>Observation 5: For case 2 as sidelink aligned to UL, the guard period is long enough to cover the transient period.</w:t>
      </w:r>
    </w:p>
    <w:p w:rsidR="00D15D51" w:rsidRPr="00D15D51" w:rsidRDefault="00D15D51" w:rsidP="00D15D51">
      <w:pPr>
        <w:rPr>
          <w:b/>
          <w:lang w:eastAsia="zh-CN"/>
        </w:rPr>
      </w:pPr>
      <w:r w:rsidRPr="00D15D51">
        <w:rPr>
          <w:rFonts w:hint="eastAsia"/>
          <w:b/>
          <w:lang w:eastAsia="zh-CN"/>
        </w:rPr>
        <w:t>P</w:t>
      </w:r>
      <w:r w:rsidRPr="00D15D51">
        <w:rPr>
          <w:b/>
          <w:lang w:eastAsia="zh-CN"/>
        </w:rPr>
        <w:t xml:space="preserve">roposal 1: </w:t>
      </w:r>
      <w:r w:rsidRPr="00D15D51">
        <w:rPr>
          <w:b/>
        </w:rPr>
        <w:t>Wait for the RRM session discussion as well as the RAN1 reply LS to finalize the guard period discussion.</w:t>
      </w:r>
    </w:p>
    <w:p w:rsidR="00DB2AC9" w:rsidRPr="000A4C5A" w:rsidRDefault="00DB2AC9" w:rsidP="00DB2AC9">
      <w:pPr>
        <w:pStyle w:val="1"/>
      </w:pPr>
      <w:r w:rsidRPr="000A4C5A">
        <w:rPr>
          <w:rFonts w:hint="eastAsia"/>
        </w:rPr>
        <w:lastRenderedPageBreak/>
        <w:t>Reference</w:t>
      </w:r>
    </w:p>
    <w:bookmarkEnd w:id="2"/>
    <w:p w:rsidR="00B34327" w:rsidRPr="00D60472" w:rsidRDefault="00861981" w:rsidP="00861981">
      <w:pPr>
        <w:numPr>
          <w:ilvl w:val="0"/>
          <w:numId w:val="2"/>
        </w:numPr>
        <w:rPr>
          <w:lang w:val="en-US" w:eastAsia="zh-CN"/>
        </w:rPr>
      </w:pPr>
      <w:r w:rsidRPr="00861981">
        <w:rPr>
          <w:lang w:val="en-US" w:eastAsia="zh-CN"/>
        </w:rPr>
        <w:t>R4-2107868</w:t>
      </w:r>
      <w:r w:rsidR="00B34327" w:rsidRPr="00517435">
        <w:rPr>
          <w:lang w:val="en-US" w:eastAsia="zh-CN"/>
        </w:rPr>
        <w:t xml:space="preserve"> </w:t>
      </w:r>
      <w:r w:rsidR="00B34327">
        <w:rPr>
          <w:lang w:val="en-US" w:eastAsia="zh-CN"/>
        </w:rPr>
        <w:tab/>
      </w:r>
      <w:r w:rsidRPr="00861981">
        <w:rPr>
          <w:lang w:eastAsia="zh-CN"/>
        </w:rPr>
        <w:t>WF on operating scenarios for Uu and SL operating in the same licensed band</w:t>
      </w:r>
      <w:r w:rsidR="00B34327">
        <w:rPr>
          <w:rFonts w:hint="eastAsia"/>
          <w:lang w:eastAsia="zh-CN"/>
        </w:rPr>
        <w:t>,</w:t>
      </w:r>
      <w:r w:rsidR="00B34327">
        <w:rPr>
          <w:lang w:eastAsia="zh-CN"/>
        </w:rPr>
        <w:t xml:space="preserve"> CATT</w:t>
      </w:r>
    </w:p>
    <w:p w:rsidR="00222B02" w:rsidRDefault="00861981" w:rsidP="00861981">
      <w:pPr>
        <w:numPr>
          <w:ilvl w:val="0"/>
          <w:numId w:val="2"/>
        </w:numPr>
        <w:rPr>
          <w:lang w:val="en-US" w:eastAsia="zh-CN"/>
        </w:rPr>
      </w:pPr>
      <w:r w:rsidRPr="00861981">
        <w:rPr>
          <w:lang w:val="en-US" w:eastAsia="zh-CN"/>
        </w:rPr>
        <w:t xml:space="preserve">R4-2110024 </w:t>
      </w:r>
      <w:r>
        <w:rPr>
          <w:lang w:val="en-US" w:eastAsia="zh-CN"/>
        </w:rPr>
        <w:tab/>
      </w:r>
      <w:r w:rsidRPr="00861981">
        <w:rPr>
          <w:lang w:val="en-US" w:eastAsia="zh-CN"/>
        </w:rPr>
        <w:t>on FDM intra-band concurrent operation</w:t>
      </w:r>
      <w:r w:rsidR="007F6E15">
        <w:rPr>
          <w:lang w:val="en-US" w:eastAsia="zh-CN"/>
        </w:rPr>
        <w:t>, Xiaomi</w:t>
      </w:r>
    </w:p>
    <w:p w:rsidR="00691CC7" w:rsidRPr="00691CC7" w:rsidRDefault="00691CC7" w:rsidP="00691CC7">
      <w:pPr>
        <w:numPr>
          <w:ilvl w:val="0"/>
          <w:numId w:val="2"/>
        </w:numPr>
      </w:pPr>
      <w:r>
        <w:rPr>
          <w:lang w:val="en-US" w:eastAsia="zh-CN"/>
        </w:rPr>
        <w:t>R4-2108352</w:t>
      </w:r>
      <w:r>
        <w:rPr>
          <w:lang w:val="en-US" w:eastAsia="zh-CN"/>
        </w:rPr>
        <w:tab/>
        <w:t xml:space="preserve">WF </w:t>
      </w:r>
      <w:r w:rsidRPr="00691CC7">
        <w:rPr>
          <w:lang w:val="en-US" w:eastAsia="zh-CN"/>
        </w:rPr>
        <w:t>on</w:t>
      </w:r>
      <w:r>
        <w:rPr>
          <w:lang w:val="en-US" w:eastAsia="zh-CN"/>
        </w:rPr>
        <w:t xml:space="preserve"> </w:t>
      </w:r>
      <w:r w:rsidRPr="00691CC7">
        <w:rPr>
          <w:lang w:val="en-US" w:eastAsia="zh-CN"/>
        </w:rPr>
        <w:t>NR</w:t>
      </w:r>
      <w:r>
        <w:rPr>
          <w:lang w:val="en-US" w:eastAsia="zh-CN"/>
        </w:rPr>
        <w:t xml:space="preserve"> </w:t>
      </w:r>
      <w:r w:rsidRPr="00691CC7">
        <w:rPr>
          <w:lang w:val="en-US" w:eastAsia="zh-CN"/>
        </w:rPr>
        <w:t>SL</w:t>
      </w:r>
      <w:r>
        <w:rPr>
          <w:lang w:val="en-US" w:eastAsia="zh-CN"/>
        </w:rPr>
        <w:t xml:space="preserve"> </w:t>
      </w:r>
      <w:r w:rsidRPr="00691CC7">
        <w:rPr>
          <w:lang w:val="en-US" w:eastAsia="zh-CN"/>
        </w:rPr>
        <w:t>enhancements</w:t>
      </w:r>
      <w:r>
        <w:rPr>
          <w:lang w:val="en-US" w:eastAsia="zh-CN"/>
        </w:rPr>
        <w:t xml:space="preserve"> </w:t>
      </w:r>
      <w:r w:rsidRPr="00691CC7">
        <w:rPr>
          <w:lang w:val="en-US" w:eastAsia="zh-CN"/>
        </w:rPr>
        <w:t>RRM</w:t>
      </w:r>
      <w:r>
        <w:rPr>
          <w:lang w:val="en-US" w:eastAsia="zh-CN"/>
        </w:rPr>
        <w:t xml:space="preserve"> </w:t>
      </w:r>
      <w:r w:rsidRPr="00691CC7">
        <w:rPr>
          <w:lang w:val="en-US" w:eastAsia="zh-CN"/>
        </w:rPr>
        <w:t>requirements</w:t>
      </w:r>
      <w:r>
        <w:rPr>
          <w:lang w:val="en-US" w:eastAsia="zh-CN"/>
        </w:rPr>
        <w:t xml:space="preserve">, </w:t>
      </w:r>
      <w:r w:rsidRPr="00691CC7">
        <w:t>LG Electronics</w:t>
      </w:r>
    </w:p>
    <w:p w:rsidR="00B34327" w:rsidRPr="006D21FB" w:rsidRDefault="00B34327" w:rsidP="00861981">
      <w:pPr>
        <w:ind w:left="720"/>
        <w:rPr>
          <w:lang w:val="en-US" w:eastAsia="zh-CN"/>
        </w:rPr>
      </w:pPr>
    </w:p>
    <w:sectPr w:rsidR="00B34327" w:rsidRPr="006D21FB" w:rsidSect="002E29EF">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579" w:rsidRDefault="00990579" w:rsidP="00DB2AC9">
      <w:pPr>
        <w:spacing w:after="0"/>
      </w:pPr>
      <w:r>
        <w:separator/>
      </w:r>
    </w:p>
  </w:endnote>
  <w:endnote w:type="continuationSeparator" w:id="0">
    <w:p w:rsidR="00990579" w:rsidRDefault="00990579"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579" w:rsidRDefault="00990579" w:rsidP="00DB2AC9">
      <w:pPr>
        <w:spacing w:after="0"/>
      </w:pPr>
      <w:r>
        <w:separator/>
      </w:r>
    </w:p>
  </w:footnote>
  <w:footnote w:type="continuationSeparator" w:id="0">
    <w:p w:rsidR="00990579" w:rsidRDefault="00990579"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567"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2BBB5415"/>
    <w:multiLevelType w:val="hybridMultilevel"/>
    <w:tmpl w:val="E0B4FB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6BD518E8"/>
    <w:multiLevelType w:val="hybridMultilevel"/>
    <w:tmpl w:val="A50C448C"/>
    <w:lvl w:ilvl="0" w:tplc="2DCAE71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D063F1D"/>
    <w:multiLevelType w:val="hybridMultilevel"/>
    <w:tmpl w:val="F3022574"/>
    <w:lvl w:ilvl="0" w:tplc="265CFC56">
      <w:start w:val="1"/>
      <w:numFmt w:val="bullet"/>
      <w:lvlText w:val="⁻"/>
      <w:lvlJc w:val="left"/>
      <w:pPr>
        <w:tabs>
          <w:tab w:val="num" w:pos="720"/>
        </w:tabs>
        <w:ind w:left="720" w:hanging="360"/>
      </w:pPr>
      <w:rPr>
        <w:rFonts w:ascii="Calibri" w:hAnsi="Calibri" w:hint="default"/>
      </w:rPr>
    </w:lvl>
    <w:lvl w:ilvl="1" w:tplc="2D86F14A">
      <w:start w:val="1"/>
      <w:numFmt w:val="bullet"/>
      <w:lvlText w:val="⁻"/>
      <w:lvlJc w:val="left"/>
      <w:pPr>
        <w:tabs>
          <w:tab w:val="num" w:pos="1440"/>
        </w:tabs>
        <w:ind w:left="1440" w:hanging="360"/>
      </w:pPr>
      <w:rPr>
        <w:rFonts w:ascii="Calibri" w:hAnsi="Calibri" w:hint="default"/>
      </w:rPr>
    </w:lvl>
    <w:lvl w:ilvl="2" w:tplc="63B2332C" w:tentative="1">
      <w:start w:val="1"/>
      <w:numFmt w:val="bullet"/>
      <w:lvlText w:val="⁻"/>
      <w:lvlJc w:val="left"/>
      <w:pPr>
        <w:tabs>
          <w:tab w:val="num" w:pos="2160"/>
        </w:tabs>
        <w:ind w:left="2160" w:hanging="360"/>
      </w:pPr>
      <w:rPr>
        <w:rFonts w:ascii="Calibri" w:hAnsi="Calibri" w:hint="default"/>
      </w:rPr>
    </w:lvl>
    <w:lvl w:ilvl="3" w:tplc="707CB150" w:tentative="1">
      <w:start w:val="1"/>
      <w:numFmt w:val="bullet"/>
      <w:lvlText w:val="⁻"/>
      <w:lvlJc w:val="left"/>
      <w:pPr>
        <w:tabs>
          <w:tab w:val="num" w:pos="2880"/>
        </w:tabs>
        <w:ind w:left="2880" w:hanging="360"/>
      </w:pPr>
      <w:rPr>
        <w:rFonts w:ascii="Calibri" w:hAnsi="Calibri" w:hint="default"/>
      </w:rPr>
    </w:lvl>
    <w:lvl w:ilvl="4" w:tplc="C9543C5C" w:tentative="1">
      <w:start w:val="1"/>
      <w:numFmt w:val="bullet"/>
      <w:lvlText w:val="⁻"/>
      <w:lvlJc w:val="left"/>
      <w:pPr>
        <w:tabs>
          <w:tab w:val="num" w:pos="3600"/>
        </w:tabs>
        <w:ind w:left="3600" w:hanging="360"/>
      </w:pPr>
      <w:rPr>
        <w:rFonts w:ascii="Calibri" w:hAnsi="Calibri" w:hint="default"/>
      </w:rPr>
    </w:lvl>
    <w:lvl w:ilvl="5" w:tplc="FCA62768" w:tentative="1">
      <w:start w:val="1"/>
      <w:numFmt w:val="bullet"/>
      <w:lvlText w:val="⁻"/>
      <w:lvlJc w:val="left"/>
      <w:pPr>
        <w:tabs>
          <w:tab w:val="num" w:pos="4320"/>
        </w:tabs>
        <w:ind w:left="4320" w:hanging="360"/>
      </w:pPr>
      <w:rPr>
        <w:rFonts w:ascii="Calibri" w:hAnsi="Calibri" w:hint="default"/>
      </w:rPr>
    </w:lvl>
    <w:lvl w:ilvl="6" w:tplc="2B9E9C02" w:tentative="1">
      <w:start w:val="1"/>
      <w:numFmt w:val="bullet"/>
      <w:lvlText w:val="⁻"/>
      <w:lvlJc w:val="left"/>
      <w:pPr>
        <w:tabs>
          <w:tab w:val="num" w:pos="5040"/>
        </w:tabs>
        <w:ind w:left="5040" w:hanging="360"/>
      </w:pPr>
      <w:rPr>
        <w:rFonts w:ascii="Calibri" w:hAnsi="Calibri" w:hint="default"/>
      </w:rPr>
    </w:lvl>
    <w:lvl w:ilvl="7" w:tplc="942278CE" w:tentative="1">
      <w:start w:val="1"/>
      <w:numFmt w:val="bullet"/>
      <w:lvlText w:val="⁻"/>
      <w:lvlJc w:val="left"/>
      <w:pPr>
        <w:tabs>
          <w:tab w:val="num" w:pos="5760"/>
        </w:tabs>
        <w:ind w:left="5760" w:hanging="360"/>
      </w:pPr>
      <w:rPr>
        <w:rFonts w:ascii="Calibri" w:hAnsi="Calibri" w:hint="default"/>
      </w:rPr>
    </w:lvl>
    <w:lvl w:ilvl="8" w:tplc="EC8AF032"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3136E"/>
    <w:rsid w:val="00044460"/>
    <w:rsid w:val="0004682F"/>
    <w:rsid w:val="000C406B"/>
    <w:rsid w:val="000F407C"/>
    <w:rsid w:val="001323DF"/>
    <w:rsid w:val="00153FF0"/>
    <w:rsid w:val="00163024"/>
    <w:rsid w:val="00196B8C"/>
    <w:rsid w:val="001E0BF5"/>
    <w:rsid w:val="001F4672"/>
    <w:rsid w:val="001F6D22"/>
    <w:rsid w:val="00202BBB"/>
    <w:rsid w:val="002053CD"/>
    <w:rsid w:val="00210163"/>
    <w:rsid w:val="00222B02"/>
    <w:rsid w:val="00246AA5"/>
    <w:rsid w:val="00260C91"/>
    <w:rsid w:val="00263744"/>
    <w:rsid w:val="00280C07"/>
    <w:rsid w:val="00284B35"/>
    <w:rsid w:val="002C2022"/>
    <w:rsid w:val="002D2F74"/>
    <w:rsid w:val="002E0C98"/>
    <w:rsid w:val="002E29EF"/>
    <w:rsid w:val="00316C4B"/>
    <w:rsid w:val="00317166"/>
    <w:rsid w:val="00323263"/>
    <w:rsid w:val="00345A95"/>
    <w:rsid w:val="00350A88"/>
    <w:rsid w:val="00360428"/>
    <w:rsid w:val="003A4BE3"/>
    <w:rsid w:val="003C59BD"/>
    <w:rsid w:val="003F35A2"/>
    <w:rsid w:val="00401396"/>
    <w:rsid w:val="00465629"/>
    <w:rsid w:val="00477BCE"/>
    <w:rsid w:val="004A118D"/>
    <w:rsid w:val="004E65FF"/>
    <w:rsid w:val="004F32A8"/>
    <w:rsid w:val="00506D59"/>
    <w:rsid w:val="00517435"/>
    <w:rsid w:val="0052288E"/>
    <w:rsid w:val="005446E3"/>
    <w:rsid w:val="0056280C"/>
    <w:rsid w:val="005663C4"/>
    <w:rsid w:val="00576F8F"/>
    <w:rsid w:val="00585205"/>
    <w:rsid w:val="00594B57"/>
    <w:rsid w:val="005A4CFC"/>
    <w:rsid w:val="005B1762"/>
    <w:rsid w:val="005C016E"/>
    <w:rsid w:val="005C6237"/>
    <w:rsid w:val="005D31D2"/>
    <w:rsid w:val="005E4791"/>
    <w:rsid w:val="00616862"/>
    <w:rsid w:val="006318F5"/>
    <w:rsid w:val="00643CB9"/>
    <w:rsid w:val="0064739C"/>
    <w:rsid w:val="00647E25"/>
    <w:rsid w:val="00662611"/>
    <w:rsid w:val="00691CC7"/>
    <w:rsid w:val="00693646"/>
    <w:rsid w:val="006A40BE"/>
    <w:rsid w:val="006C5645"/>
    <w:rsid w:val="006D0EFD"/>
    <w:rsid w:val="006D21FB"/>
    <w:rsid w:val="006F3650"/>
    <w:rsid w:val="00763938"/>
    <w:rsid w:val="00773B7D"/>
    <w:rsid w:val="00777DF8"/>
    <w:rsid w:val="00780492"/>
    <w:rsid w:val="00795CA2"/>
    <w:rsid w:val="007F6E15"/>
    <w:rsid w:val="008006DE"/>
    <w:rsid w:val="00805BF5"/>
    <w:rsid w:val="00806124"/>
    <w:rsid w:val="00853AF4"/>
    <w:rsid w:val="00861981"/>
    <w:rsid w:val="00866946"/>
    <w:rsid w:val="008758CC"/>
    <w:rsid w:val="0089175A"/>
    <w:rsid w:val="008D0CAC"/>
    <w:rsid w:val="00943649"/>
    <w:rsid w:val="00990579"/>
    <w:rsid w:val="00992D9C"/>
    <w:rsid w:val="009C588D"/>
    <w:rsid w:val="009D165B"/>
    <w:rsid w:val="00A04E47"/>
    <w:rsid w:val="00A24FEA"/>
    <w:rsid w:val="00A30953"/>
    <w:rsid w:val="00A3401F"/>
    <w:rsid w:val="00A40900"/>
    <w:rsid w:val="00A46759"/>
    <w:rsid w:val="00AC6407"/>
    <w:rsid w:val="00B03CB3"/>
    <w:rsid w:val="00B3173F"/>
    <w:rsid w:val="00B34327"/>
    <w:rsid w:val="00B3579F"/>
    <w:rsid w:val="00B454C2"/>
    <w:rsid w:val="00BA648E"/>
    <w:rsid w:val="00BB408C"/>
    <w:rsid w:val="00BD22AC"/>
    <w:rsid w:val="00BE2F01"/>
    <w:rsid w:val="00BF5743"/>
    <w:rsid w:val="00C42119"/>
    <w:rsid w:val="00C7497C"/>
    <w:rsid w:val="00C75255"/>
    <w:rsid w:val="00C93661"/>
    <w:rsid w:val="00CA41B0"/>
    <w:rsid w:val="00CA6327"/>
    <w:rsid w:val="00CA75C2"/>
    <w:rsid w:val="00CB23EB"/>
    <w:rsid w:val="00CB6C89"/>
    <w:rsid w:val="00CE6AC7"/>
    <w:rsid w:val="00CF3C50"/>
    <w:rsid w:val="00D03608"/>
    <w:rsid w:val="00D15D51"/>
    <w:rsid w:val="00D33E6E"/>
    <w:rsid w:val="00D47FB6"/>
    <w:rsid w:val="00D60472"/>
    <w:rsid w:val="00D63276"/>
    <w:rsid w:val="00D8173A"/>
    <w:rsid w:val="00D938AB"/>
    <w:rsid w:val="00D970EF"/>
    <w:rsid w:val="00DB2AC9"/>
    <w:rsid w:val="00DB5C03"/>
    <w:rsid w:val="00DD4592"/>
    <w:rsid w:val="00E02E23"/>
    <w:rsid w:val="00E23861"/>
    <w:rsid w:val="00E90761"/>
    <w:rsid w:val="00E9533D"/>
    <w:rsid w:val="00EA50F7"/>
    <w:rsid w:val="00EB031E"/>
    <w:rsid w:val="00EF5CEB"/>
    <w:rsid w:val="00EF5E8A"/>
    <w:rsid w:val="00EF7B26"/>
    <w:rsid w:val="00F51CE6"/>
    <w:rsid w:val="00F51F95"/>
    <w:rsid w:val="00F65F49"/>
    <w:rsid w:val="00F93B56"/>
    <w:rsid w:val="00F94CD6"/>
    <w:rsid w:val="00FB29C7"/>
    <w:rsid w:val="00FC00F3"/>
    <w:rsid w:val="00FE3C27"/>
    <w:rsid w:val="00FF61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1586C"/>
  <w15:chartTrackingRefBased/>
  <w15:docId w15:val="{2F4C32D6-9E45-4C17-8F9B-13387C630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paragraph" w:styleId="aa">
    <w:name w:val="List Paragraph"/>
    <w:basedOn w:val="a1"/>
    <w:uiPriority w:val="34"/>
    <w:qFormat/>
    <w:rsid w:val="001323DF"/>
    <w:pPr>
      <w:ind w:firstLineChars="200" w:firstLine="420"/>
    </w:pPr>
  </w:style>
  <w:style w:type="table" w:styleId="ab">
    <w:name w:val="Table Grid"/>
    <w:basedOn w:val="a3"/>
    <w:uiPriority w:val="39"/>
    <w:rsid w:val="003604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1"/>
    <w:uiPriority w:val="99"/>
    <w:semiHidden/>
    <w:unhideWhenUsed/>
    <w:rsid w:val="00691CC7"/>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101360">
      <w:bodyDiv w:val="1"/>
      <w:marLeft w:val="0"/>
      <w:marRight w:val="0"/>
      <w:marTop w:val="0"/>
      <w:marBottom w:val="0"/>
      <w:divBdr>
        <w:top w:val="none" w:sz="0" w:space="0" w:color="auto"/>
        <w:left w:val="none" w:sz="0" w:space="0" w:color="auto"/>
        <w:bottom w:val="none" w:sz="0" w:space="0" w:color="auto"/>
        <w:right w:val="none" w:sz="0" w:space="0" w:color="auto"/>
      </w:divBdr>
    </w:div>
    <w:div w:id="1171674856">
      <w:bodyDiv w:val="1"/>
      <w:marLeft w:val="0"/>
      <w:marRight w:val="0"/>
      <w:marTop w:val="0"/>
      <w:marBottom w:val="0"/>
      <w:divBdr>
        <w:top w:val="none" w:sz="0" w:space="0" w:color="auto"/>
        <w:left w:val="none" w:sz="0" w:space="0" w:color="auto"/>
        <w:bottom w:val="none" w:sz="0" w:space="0" w:color="auto"/>
        <w:right w:val="none" w:sz="0" w:space="0" w:color="auto"/>
      </w:divBdr>
    </w:div>
    <w:div w:id="1429694747">
      <w:bodyDiv w:val="1"/>
      <w:marLeft w:val="0"/>
      <w:marRight w:val="0"/>
      <w:marTop w:val="0"/>
      <w:marBottom w:val="0"/>
      <w:divBdr>
        <w:top w:val="none" w:sz="0" w:space="0" w:color="auto"/>
        <w:left w:val="none" w:sz="0" w:space="0" w:color="auto"/>
        <w:bottom w:val="none" w:sz="0" w:space="0" w:color="auto"/>
        <w:right w:val="none" w:sz="0" w:space="0" w:color="auto"/>
      </w:divBdr>
    </w:div>
    <w:div w:id="1715304956">
      <w:bodyDiv w:val="1"/>
      <w:marLeft w:val="0"/>
      <w:marRight w:val="0"/>
      <w:marTop w:val="0"/>
      <w:marBottom w:val="0"/>
      <w:divBdr>
        <w:top w:val="none" w:sz="0" w:space="0" w:color="auto"/>
        <w:left w:val="none" w:sz="0" w:space="0" w:color="auto"/>
        <w:bottom w:val="none" w:sz="0" w:space="0" w:color="auto"/>
        <w:right w:val="none" w:sz="0" w:space="0" w:color="auto"/>
      </w:divBdr>
    </w:div>
    <w:div w:id="1889995653">
      <w:bodyDiv w:val="1"/>
      <w:marLeft w:val="0"/>
      <w:marRight w:val="0"/>
      <w:marTop w:val="0"/>
      <w:marBottom w:val="0"/>
      <w:divBdr>
        <w:top w:val="none" w:sz="0" w:space="0" w:color="auto"/>
        <w:left w:val="none" w:sz="0" w:space="0" w:color="auto"/>
        <w:bottom w:val="none" w:sz="0" w:space="0" w:color="auto"/>
        <w:right w:val="none" w:sz="0" w:space="0" w:color="auto"/>
      </w:divBdr>
      <w:divsChild>
        <w:div w:id="193539455">
          <w:marLeft w:val="1080"/>
          <w:marRight w:val="0"/>
          <w:marTop w:val="100"/>
          <w:marBottom w:val="0"/>
          <w:divBdr>
            <w:top w:val="none" w:sz="0" w:space="0" w:color="auto"/>
            <w:left w:val="none" w:sz="0" w:space="0" w:color="auto"/>
            <w:bottom w:val="none" w:sz="0" w:space="0" w:color="auto"/>
            <w:right w:val="none" w:sz="0" w:space="0" w:color="auto"/>
          </w:divBdr>
        </w:div>
        <w:div w:id="500661406">
          <w:marLeft w:val="1080"/>
          <w:marRight w:val="0"/>
          <w:marTop w:val="100"/>
          <w:marBottom w:val="0"/>
          <w:divBdr>
            <w:top w:val="none" w:sz="0" w:space="0" w:color="auto"/>
            <w:left w:val="none" w:sz="0" w:space="0" w:color="auto"/>
            <w:bottom w:val="none" w:sz="0" w:space="0" w:color="auto"/>
            <w:right w:val="none" w:sz="0" w:space="0" w:color="auto"/>
          </w:divBdr>
        </w:div>
        <w:div w:id="1178153736">
          <w:marLeft w:val="1080"/>
          <w:marRight w:val="0"/>
          <w:marTop w:val="100"/>
          <w:marBottom w:val="0"/>
          <w:divBdr>
            <w:top w:val="none" w:sz="0" w:space="0" w:color="auto"/>
            <w:left w:val="none" w:sz="0" w:space="0" w:color="auto"/>
            <w:bottom w:val="none" w:sz="0" w:space="0" w:color="auto"/>
            <w:right w:val="none" w:sz="0" w:space="0" w:color="auto"/>
          </w:divBdr>
        </w:div>
        <w:div w:id="1445465440">
          <w:marLeft w:val="1080"/>
          <w:marRight w:val="0"/>
          <w:marTop w:val="100"/>
          <w:marBottom w:val="0"/>
          <w:divBdr>
            <w:top w:val="none" w:sz="0" w:space="0" w:color="auto"/>
            <w:left w:val="none" w:sz="0" w:space="0" w:color="auto"/>
            <w:bottom w:val="none" w:sz="0" w:space="0" w:color="auto"/>
            <w:right w:val="none" w:sz="0" w:space="0" w:color="auto"/>
          </w:divBdr>
        </w:div>
        <w:div w:id="1792822659">
          <w:marLeft w:val="1080"/>
          <w:marRight w:val="0"/>
          <w:marTop w:val="100"/>
          <w:marBottom w:val="0"/>
          <w:divBdr>
            <w:top w:val="none" w:sz="0" w:space="0" w:color="auto"/>
            <w:left w:val="none" w:sz="0" w:space="0" w:color="auto"/>
            <w:bottom w:val="none" w:sz="0" w:space="0" w:color="auto"/>
            <w:right w:val="none" w:sz="0" w:space="0" w:color="auto"/>
          </w:divBdr>
        </w:div>
        <w:div w:id="186308279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6161</TotalTime>
  <Pages>3</Pages>
  <Words>808</Words>
  <Characters>4608</Characters>
  <Application>Microsoft Office Word</Application>
  <DocSecurity>0</DocSecurity>
  <Lines>38</Lines>
  <Paragraphs>10</Paragraphs>
  <ScaleCrop>false</ScaleCrop>
  <Company/>
  <LinksUpToDate>false</LinksUpToDate>
  <CharactersWithSpaces>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37</cp:revision>
  <dcterms:created xsi:type="dcterms:W3CDTF">2020-08-06T01:43:00Z</dcterms:created>
  <dcterms:modified xsi:type="dcterms:W3CDTF">2021-08-06T05:58:00Z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